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baseline"/>
        <w:rPr>
          <w:sz w:val="48"/>
          <w:szCs w:val="48"/>
        </w:rPr>
      </w:pPr>
      <w:r>
        <w:rPr>
          <w:rFonts w:hint="eastAsia"/>
          <w:sz w:val="48"/>
          <w:szCs w:val="48"/>
        </w:rPr>
        <w:t>询价文件</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淮南清洁能源储运装备制造产业园4#标准化厂房项目灯具类</w:t>
      </w:r>
      <w:r>
        <w:rPr>
          <w:rFonts w:hint="eastAsia" w:ascii="仿宋" w:hAnsi="仿宋" w:eastAsia="仿宋" w:cs="楷体_GB2312"/>
          <w:color w:val="000000"/>
          <w:sz w:val="28"/>
          <w:szCs w:val="28"/>
        </w:rPr>
        <w:t>材料进行采购询价，欢迎具有产品资质的生产商或有此类产品经营范围的供货商前来洽谈、报价，具体事项如下：</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淮南清洁能源储运装备制造产业园4#标准化厂房项目灯具类材料采购</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淮南清洁能源储运装备制造产业园4#标准化厂房项目施工现场</w:t>
      </w:r>
    </w:p>
    <w:p>
      <w:pPr>
        <w:numPr>
          <w:ilvl w:val="0"/>
          <w:numId w:val="1"/>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9371" w:type="dxa"/>
        <w:tblInd w:w="93" w:type="dxa"/>
        <w:tblLayout w:type="autofit"/>
        <w:tblCellMar>
          <w:top w:w="0" w:type="dxa"/>
          <w:left w:w="108" w:type="dxa"/>
          <w:bottom w:w="0" w:type="dxa"/>
          <w:right w:w="108" w:type="dxa"/>
        </w:tblCellMar>
      </w:tblPr>
      <w:tblGrid>
        <w:gridCol w:w="845"/>
        <w:gridCol w:w="1370"/>
        <w:gridCol w:w="2714"/>
        <w:gridCol w:w="600"/>
        <w:gridCol w:w="867"/>
        <w:gridCol w:w="936"/>
        <w:gridCol w:w="996"/>
        <w:gridCol w:w="1043"/>
      </w:tblGrid>
      <w:tr>
        <w:tblPrEx>
          <w:tblCellMar>
            <w:top w:w="0" w:type="dxa"/>
            <w:left w:w="108" w:type="dxa"/>
            <w:bottom w:w="0" w:type="dxa"/>
            <w:right w:w="108" w:type="dxa"/>
          </w:tblCellMar>
        </w:tblPrEx>
        <w:trPr>
          <w:trHeight w:val="73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序号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材料名称</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单位</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预计总用量</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单价（元）</w:t>
            </w:r>
          </w:p>
        </w:tc>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总价（元）</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品牌</w:t>
            </w: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LED，35W,色温4000K,光通量2600lm，600x600mm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160.00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嵌入式LED灯盘E2a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LED，35W,色温4000K,光通量2600lm应急专用灯具,自带蓄电池，应急时间(寿命终止时)≥180min，600x600mm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LED高棚灯H1a</w:t>
            </w:r>
          </w:p>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（杆吊安装）</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LED，120W，色温5700K,光通量13200lm,深照型</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834.00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LED高棚灯H1b（杆吊安装）</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LED，120W，色温5700K,光通量13200lm,广照型</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50.00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LED筒灯D1a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LED，8W，色温4000K,光通量720lm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78.00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39.00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LED支架灯B2a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L≈1200mm，LED，36W,色温4000K,光通量4200lm，消防应急灯具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15.00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969"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LED高棚灯H1a杆吊</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批</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660" w:hRule="atLeast"/>
        </w:trPr>
        <w:tc>
          <w:tcPr>
            <w:tcW w:w="2215"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合计总价：（大写）</w:t>
            </w:r>
          </w:p>
        </w:tc>
        <w:tc>
          <w:tcPr>
            <w:tcW w:w="5117"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仿宋" w:hAnsi="仿宋" w:eastAsia="仿宋" w:cs="仿宋"/>
                <w:color w:val="000000"/>
                <w:sz w:val="22"/>
              </w:rPr>
            </w:pPr>
          </w:p>
        </w:tc>
        <w:tc>
          <w:tcPr>
            <w:tcW w:w="2039" w:type="dxa"/>
            <w:gridSpan w:val="2"/>
            <w:tcBorders>
              <w:top w:val="single" w:color="000000" w:sz="4" w:space="0"/>
              <w:left w:val="single" w:color="000000" w:sz="4" w:space="0"/>
              <w:bottom w:val="single" w:color="auto" w:sz="4" w:space="0"/>
              <w:right w:val="single" w:color="000000" w:sz="4" w:space="0"/>
            </w:tcBorders>
            <w:shd w:val="clear" w:color="auto" w:fill="FFFFFF"/>
            <w:noWrap/>
            <w:vAlign w:val="center"/>
          </w:tcPr>
          <w:p>
            <w:pPr>
              <w:widowControl/>
              <w:jc w:val="left"/>
              <w:textAlignment w:val="center"/>
              <w:rPr>
                <w:rFonts w:ascii="仿宋" w:hAnsi="仿宋" w:eastAsia="仿宋" w:cs="仿宋"/>
                <w:color w:val="000000"/>
                <w:szCs w:val="21"/>
              </w:rPr>
            </w:pPr>
          </w:p>
        </w:tc>
      </w:tr>
      <w:tr>
        <w:tblPrEx>
          <w:tblCellMar>
            <w:top w:w="0" w:type="dxa"/>
            <w:left w:w="108" w:type="dxa"/>
            <w:bottom w:w="0" w:type="dxa"/>
            <w:right w:w="108" w:type="dxa"/>
          </w:tblCellMar>
        </w:tblPrEx>
        <w:trPr>
          <w:trHeight w:val="2184" w:hRule="atLeast"/>
        </w:trPr>
        <w:tc>
          <w:tcPr>
            <w:tcW w:w="937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报价说明：1、报价价格必须含13%增值税专用发票、运输费用、装卸费用。货到项目施工现场7日内付至95%。5%留作质保金，待质保期届满无质量问题后（质保期2年）无息付清。支付方式为转账。</w:t>
            </w:r>
          </w:p>
          <w:p>
            <w:pPr>
              <w:widowControl/>
              <w:jc w:val="left"/>
              <w:textAlignment w:val="cente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2、以上产品报价品牌范围：佛山照明、雷士、松下、正汉、</w:t>
            </w:r>
          </w:p>
          <w:p>
            <w:pPr>
              <w:widowControl/>
              <w:jc w:val="left"/>
              <w:textAlignment w:val="cente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3、LED高棚灯吊杆按照吊杆尺寸表配置，{LED高棚灯吊杆尺寸附表}</w:t>
            </w:r>
          </w:p>
          <w:p>
            <w:pPr>
              <w:widowControl/>
              <w:jc w:val="left"/>
              <w:textAlignment w:val="center"/>
              <w:rPr>
                <w:rFonts w:ascii="仿宋" w:hAnsi="仿宋" w:eastAsia="仿宋" w:cs="仿宋"/>
                <w:b/>
                <w:bCs/>
                <w:color w:val="000000"/>
                <w:kern w:val="0"/>
                <w:sz w:val="24"/>
                <w:szCs w:val="24"/>
              </w:rPr>
            </w:pPr>
            <w:r>
              <w:rPr>
                <w:rFonts w:hint="eastAsia" w:ascii="仿宋" w:hAnsi="仿宋" w:eastAsia="仿宋" w:cs="楷体_GB2312"/>
                <w:b/>
                <w:bCs/>
                <w:color w:val="000000"/>
                <w:sz w:val="24"/>
                <w:szCs w:val="24"/>
              </w:rPr>
              <w:t>4、报价方需提供相应样品：各类产品供应商需提供一件具有代表性的样品。</w:t>
            </w:r>
          </w:p>
          <w:p>
            <w:pPr>
              <w:widowControl/>
              <w:jc w:val="left"/>
              <w:textAlignment w:val="center"/>
              <w:rPr>
                <w:rFonts w:ascii="仿宋" w:hAnsi="仿宋" w:eastAsia="仿宋" w:cs="仿宋"/>
                <w:b/>
                <w:bCs/>
                <w:color w:val="000000"/>
                <w:sz w:val="24"/>
                <w:szCs w:val="24"/>
              </w:rPr>
            </w:pPr>
            <w:r>
              <w:rPr>
                <w:rFonts w:hint="eastAsia" w:ascii="仿宋" w:hAnsi="仿宋" w:eastAsia="仿宋" w:cs="仿宋"/>
                <w:b/>
                <w:bCs/>
                <w:color w:val="000000"/>
                <w:kern w:val="0"/>
                <w:sz w:val="24"/>
                <w:szCs w:val="24"/>
              </w:rPr>
              <w:t>5、所报价的产品不得低于设计要求，且有效期不少于一个月。</w:t>
            </w:r>
          </w:p>
        </w:tc>
      </w:tr>
    </w:tbl>
    <w:p>
      <w:pPr>
        <w:textAlignment w:val="baseline"/>
        <w:rPr>
          <w:rFonts w:ascii="仿宋" w:hAnsi="仿宋" w:eastAsia="仿宋" w:cs="楷体_GB2312"/>
          <w:b/>
          <w:color w:val="000000"/>
          <w:sz w:val="24"/>
          <w:szCs w:val="24"/>
        </w:rPr>
      </w:pPr>
    </w:p>
    <w:p>
      <w:pPr>
        <w:textAlignment w:val="baseline"/>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36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5、产品执行标准：执行照明灯具产品的相关技术要求等之规定。</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6、报价文件袋需盖章并密封（无章、没有密封不予接收）。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公司指定账户：开户行中行安徽淮南新集支行，账号:181205791225。询价保证金在询价完成后，未成交单位7个工作日内予以返还，成交单位在签订采购合同后7个工作日内予以返还。</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w:t>
      </w:r>
      <w:r>
        <w:rPr>
          <w:rFonts w:hint="eastAsia" w:ascii="仿宋" w:hAnsi="仿宋" w:eastAsia="仿宋" w:cs="楷体_GB2312"/>
          <w:color w:val="000000"/>
          <w:sz w:val="28"/>
          <w:szCs w:val="28"/>
        </w:rPr>
        <w:t>、正品保证</w:t>
      </w:r>
      <w:r>
        <w:rPr>
          <w:rFonts w:ascii="仿宋" w:hAnsi="仿宋" w:eastAsia="仿宋" w:cs="楷体_GB2312"/>
          <w:color w:val="000000"/>
          <w:sz w:val="28"/>
          <w:szCs w:val="28"/>
        </w:rPr>
        <w:t>及售后服务承诺。</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9、报价文件必须由单位法人和授权代理人分别签字并盖章后方可有效，同时提供正式授权委托书。</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11、供应商在选中后，合同履行期间不能及时保障供应，每出现一次，罚款1000元。累计出现三次，甲方有权单方面解除合同，乙方不得进行任何阻挠。</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12、凡参与报价的供应商，在询报价期间出现相互串通询价及不响应我公司询价文件要求的供应商，报价文件作废处理，同时我公司有权没收询价保证金。</w:t>
      </w:r>
    </w:p>
    <w:p>
      <w:pPr>
        <w:spacing w:line="52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13、报价文件需提供正本一套，副本二套，胶装成册，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14、报价有效期不少于一个月。</w:t>
      </w:r>
    </w:p>
    <w:p>
      <w:pPr>
        <w:spacing w:line="300" w:lineRule="auto"/>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textAlignment w:val="baseline"/>
        <w:rPr>
          <w:rFonts w:ascii="仿宋" w:hAnsi="仿宋" w:eastAsia="仿宋" w:cs="仿宋"/>
          <w:bCs/>
          <w:color w:val="000000"/>
          <w:kern w:val="0"/>
          <w:sz w:val="28"/>
          <w:szCs w:val="28"/>
        </w:rPr>
      </w:pPr>
      <w:r>
        <w:rPr>
          <w:rFonts w:hint="eastAsia" w:ascii="仿宋" w:hAnsi="仿宋" w:eastAsia="仿宋" w:cs="仿宋"/>
          <w:bCs/>
          <w:color w:val="000000"/>
          <w:kern w:val="0"/>
          <w:sz w:val="28"/>
          <w:szCs w:val="28"/>
        </w:rPr>
        <w:t>1、货到项目施工现场7日内付至95%。5%留作质保金，待质保期届满无质量问题后（质保期2年）无息付清。支付方式为转账。</w:t>
      </w:r>
    </w:p>
    <w:p>
      <w:pPr>
        <w:tabs>
          <w:tab w:val="left" w:pos="540"/>
        </w:tabs>
        <w:spacing w:line="30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2、报价人需按合同约定的供货期间进行供货，材料进场需进行验收，产品标准：国标，技术参数，验收合格后，方可办理验收手续，供货数量据实结算。</w:t>
      </w:r>
    </w:p>
    <w:p>
      <w:pPr>
        <w:tabs>
          <w:tab w:val="left" w:pos="540"/>
        </w:tabs>
        <w:spacing w:line="300" w:lineRule="auto"/>
        <w:ind w:firstLine="420" w:firstLineChars="1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 xml:space="preserve"> 3</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4 </w:t>
      </w:r>
      <w:r>
        <w:rPr>
          <w:rFonts w:hint="eastAsia" w:ascii="仿宋" w:hAnsi="仿宋" w:eastAsia="仿宋" w:cs="楷体_GB2312"/>
          <w:sz w:val="28"/>
          <w:szCs w:val="28"/>
        </w:rPr>
        <w:t>日</w:t>
      </w:r>
      <w:r>
        <w:rPr>
          <w:rFonts w:hint="eastAsia" w:ascii="仿宋" w:hAnsi="仿宋" w:eastAsia="仿宋" w:cs="楷体_GB2312"/>
          <w:sz w:val="28"/>
          <w:szCs w:val="28"/>
          <w:lang w:eastAsia="zh-CN"/>
        </w:rPr>
        <w:t>当天</w:t>
      </w:r>
      <w:r>
        <w:rPr>
          <w:rFonts w:hint="eastAsia" w:ascii="仿宋" w:hAnsi="仿宋" w:eastAsia="仿宋" w:cs="楷体_GB2312"/>
          <w:sz w:val="28"/>
          <w:szCs w:val="28"/>
          <w:u w:val="single"/>
          <w:lang w:val="en-US" w:eastAsia="zh-CN"/>
        </w:rPr>
        <w:t xml:space="preserve"> 10 </w:t>
      </w:r>
      <w:r>
        <w:rPr>
          <w:rFonts w:hint="eastAsia" w:ascii="仿宋" w:hAnsi="仿宋" w:eastAsia="仿宋" w:cs="楷体_GB2312"/>
          <w:sz w:val="28"/>
          <w:szCs w:val="28"/>
          <w:u w:val="none"/>
          <w:lang w:val="en-US" w:eastAsia="zh-CN"/>
        </w:rPr>
        <w:t>时</w:t>
      </w:r>
      <w:r>
        <w:rPr>
          <w:rFonts w:hint="eastAsia" w:ascii="仿宋" w:hAnsi="仿宋" w:eastAsia="仿宋" w:cs="楷体_GB2312"/>
          <w:sz w:val="28"/>
          <w:szCs w:val="28"/>
        </w:rPr>
        <w:t>前</w:t>
      </w:r>
      <w:bookmarkStart w:id="0" w:name="_GoBack"/>
      <w:r>
        <w:rPr>
          <w:rFonts w:hint="eastAsia" w:ascii="仿宋" w:hAnsi="仿宋" w:eastAsia="仿宋" w:cs="楷体_GB2312"/>
          <w:color w:val="auto"/>
          <w:sz w:val="28"/>
          <w:szCs w:val="28"/>
        </w:rPr>
        <w:t>，</w:t>
      </w:r>
      <w:bookmarkEnd w:id="0"/>
      <w:r>
        <w:rPr>
          <w:rFonts w:hint="eastAsia" w:ascii="仿宋" w:hAnsi="仿宋" w:eastAsia="仿宋" w:cs="楷体_GB2312"/>
          <w:color w:val="000000"/>
          <w:sz w:val="28"/>
          <w:szCs w:val="28"/>
        </w:rPr>
        <w:t>各报价单位把报价文件递交至淮南市毛集实验区工业园区新集煤电办公楼（九楼供应部），逾期送达的报价文件被拒绝。</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4</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 xml:space="preserve"> 10 </w:t>
      </w:r>
      <w:r>
        <w:rPr>
          <w:rFonts w:hint="eastAsia" w:ascii="仿宋" w:hAnsi="仿宋" w:eastAsia="仿宋" w:cs="楷体_GB2312"/>
          <w:sz w:val="28"/>
          <w:szCs w:val="28"/>
        </w:rPr>
        <w:t>时当众开启各方报价文件。</w:t>
      </w:r>
    </w:p>
    <w:p>
      <w:pPr>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r>
        <w:rPr>
          <w:rFonts w:hint="eastAsia" w:ascii="仿宋" w:hAnsi="仿宋" w:eastAsia="仿宋" w:cs="仿宋"/>
          <w:b/>
          <w:bCs/>
          <w:color w:val="000000"/>
          <w:sz w:val="28"/>
          <w:szCs w:val="28"/>
        </w:rPr>
        <w:t>（含</w:t>
      </w:r>
      <w:r>
        <w:rPr>
          <w:rFonts w:hint="eastAsia" w:ascii="仿宋" w:hAnsi="仿宋" w:eastAsia="仿宋" w:cs="仿宋"/>
          <w:b/>
          <w:bCs/>
          <w:color w:val="000000"/>
          <w:kern w:val="0"/>
          <w:sz w:val="28"/>
          <w:szCs w:val="28"/>
        </w:rPr>
        <w:t>吊杆尺寸清单报价</w:t>
      </w:r>
      <w:r>
        <w:rPr>
          <w:rFonts w:hint="eastAsia" w:ascii="仿宋" w:hAnsi="仿宋" w:eastAsia="仿宋" w:cs="楷体_GB2312"/>
          <w:b/>
          <w:bCs/>
          <w:color w:val="000000"/>
          <w:sz w:val="28"/>
          <w:szCs w:val="28"/>
        </w:rPr>
        <w:t>）</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8、其它</w:t>
      </w:r>
    </w:p>
    <w:p>
      <w:pPr>
        <w:ind w:firstLine="4900" w:firstLineChars="1750"/>
        <w:textAlignment w:val="baseline"/>
        <w:rPr>
          <w:rFonts w:ascii="仿宋" w:hAnsi="仿宋" w:eastAsia="仿宋" w:cs="楷体_GB2312"/>
          <w:color w:val="000000"/>
          <w:sz w:val="28"/>
          <w:szCs w:val="28"/>
        </w:rPr>
      </w:pPr>
    </w:p>
    <w:p>
      <w:pPr>
        <w:ind w:firstLine="4900" w:firstLineChars="17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联系电话：0554-2311037</w:t>
      </w:r>
    </w:p>
    <w:p>
      <w:pPr>
        <w:jc w:val="left"/>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日期：</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2</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25</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p>
    <w:p>
      <w:pPr>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textAlignment w:val="baseline"/>
        <w:rPr>
          <w:rFonts w:ascii="仿宋" w:hAnsi="仿宋" w:eastAsia="仿宋" w:cs="楷体_GB2312"/>
          <w:b/>
          <w:bCs/>
          <w:color w:val="000000"/>
          <w:sz w:val="44"/>
          <w:szCs w:val="44"/>
        </w:rPr>
      </w:pPr>
      <w:r>
        <w:rPr>
          <w:rFonts w:hint="eastAsia" w:ascii="仿宋" w:hAnsi="仿宋" w:eastAsia="仿宋" w:cs="楷体_GB2312"/>
          <w:b/>
          <w:bCs/>
          <w:color w:val="000000"/>
          <w:sz w:val="44"/>
          <w:szCs w:val="44"/>
        </w:rPr>
        <w:t>报价单</w:t>
      </w:r>
    </w:p>
    <w:tbl>
      <w:tblPr>
        <w:tblStyle w:val="7"/>
        <w:tblW w:w="9675" w:type="dxa"/>
        <w:tblInd w:w="93" w:type="dxa"/>
        <w:tblLayout w:type="autofit"/>
        <w:tblCellMar>
          <w:top w:w="0" w:type="dxa"/>
          <w:left w:w="108" w:type="dxa"/>
          <w:bottom w:w="0" w:type="dxa"/>
          <w:right w:w="108" w:type="dxa"/>
        </w:tblCellMar>
      </w:tblPr>
      <w:tblGrid>
        <w:gridCol w:w="933"/>
        <w:gridCol w:w="1443"/>
        <w:gridCol w:w="2911"/>
        <w:gridCol w:w="644"/>
        <w:gridCol w:w="930"/>
        <w:gridCol w:w="936"/>
        <w:gridCol w:w="1069"/>
        <w:gridCol w:w="809"/>
      </w:tblGrid>
      <w:tr>
        <w:tblPrEx>
          <w:tblCellMar>
            <w:top w:w="0" w:type="dxa"/>
            <w:left w:w="108" w:type="dxa"/>
            <w:bottom w:w="0" w:type="dxa"/>
            <w:right w:w="108" w:type="dxa"/>
          </w:tblCellMar>
        </w:tblPrEx>
        <w:trPr>
          <w:trHeight w:val="735" w:hRule="atLeast"/>
        </w:trPr>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序号</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材料名称</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规格型号</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预计总用量</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单价（元）</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总价（元）</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品牌</w:t>
            </w: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嵌入式LED灯盘E1a</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LED，35W,色温4000K,光通量2600lm，600x600mm</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160.00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嵌入式LED灯盘E2a</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LED，35W,色温4000K,光通量2600lm应急专用灯具,自带蓄电池，应急时间(寿命终止时)≥180min，600x600mm</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LED高棚灯H1a（杆吊安装）</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LED，120W，色温5700K,光通量13200lm,深照型</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834.00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LED高棚灯H1b（杆吊安装）</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LED，120W，色温5700K,光通量13200lm,广照型</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50.00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LED筒灯D1a</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LED，8W，色温4000K,光通量720lm</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78.00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LED支架灯B1a</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39.00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LED支架灯B2a</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L≈1200mm，LED，36W,色温4000K,光通量4200lm，消防应急灯具</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15.00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LED高棚灯H1a杆吊</w:t>
            </w:r>
          </w:p>
        </w:tc>
        <w:tc>
          <w:tcPr>
            <w:tcW w:w="2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批</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6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合计总价：（大写）</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仿宋" w:hAnsi="仿宋" w:eastAsia="仿宋" w:cs="仿宋"/>
                <w:color w:val="000000"/>
                <w:sz w:val="22"/>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仿宋" w:hAnsi="仿宋" w:eastAsia="仿宋" w:cs="仿宋"/>
                <w:color w:val="000000"/>
                <w:szCs w:val="21"/>
              </w:rPr>
            </w:pPr>
          </w:p>
        </w:tc>
      </w:tr>
    </w:tbl>
    <w:p>
      <w:pPr>
        <w:spacing w:line="340" w:lineRule="exact"/>
        <w:ind w:right="-388"/>
        <w:textAlignment w:val="baseline"/>
        <w:rPr>
          <w:rFonts w:ascii="仿宋" w:hAnsi="仿宋" w:eastAsia="仿宋" w:cs="楷体_GB2312"/>
          <w:bCs/>
          <w:color w:val="000000"/>
          <w:sz w:val="22"/>
        </w:rPr>
      </w:pPr>
      <w:r>
        <w:rPr>
          <w:rFonts w:hint="eastAsia" w:ascii="仿宋" w:hAnsi="仿宋" w:eastAsia="仿宋" w:cs="楷体_GB2312"/>
          <w:bCs/>
          <w:color w:val="000000"/>
          <w:sz w:val="22"/>
          <w:szCs w:val="24"/>
        </w:rPr>
        <w:t>报价说明：1、此价格含13%增值税专用发票、运输费用、装卸</w:t>
      </w:r>
      <w:r>
        <w:rPr>
          <w:rFonts w:hint="eastAsia" w:ascii="仿宋" w:hAnsi="仿宋" w:eastAsia="仿宋" w:cs="楷体_GB2312"/>
          <w:bCs/>
          <w:color w:val="000000"/>
          <w:sz w:val="22"/>
        </w:rPr>
        <w:t>费用，</w:t>
      </w:r>
      <w:r>
        <w:rPr>
          <w:rFonts w:hint="eastAsia" w:ascii="仿宋" w:hAnsi="仿宋" w:eastAsia="仿宋" w:cs="仿宋"/>
          <w:bCs/>
          <w:color w:val="000000"/>
          <w:kern w:val="0"/>
          <w:sz w:val="22"/>
        </w:rPr>
        <w:t>货到项目施工现场7日内付至95%。5%留作质保金，待质保期届满无质量问题后（质保期2年）无息付清。支付方式为转账。</w:t>
      </w:r>
      <w:r>
        <w:rPr>
          <w:rFonts w:hint="eastAsia" w:ascii="仿宋" w:hAnsi="仿宋" w:eastAsia="仿宋" w:cs="楷体_GB2312"/>
          <w:bCs/>
          <w:color w:val="000000"/>
          <w:sz w:val="22"/>
        </w:rPr>
        <w:t xml:space="preserve">     </w:t>
      </w:r>
    </w:p>
    <w:p>
      <w:pPr>
        <w:spacing w:line="340" w:lineRule="exact"/>
        <w:ind w:right="-388"/>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2、以上产品报价有效期不得少于1个月。</w:t>
      </w:r>
    </w:p>
    <w:p>
      <w:pPr>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w:t>
      </w:r>
    </w:p>
    <w:p>
      <w:pPr>
        <w:textAlignment w:val="baseline"/>
        <w:rPr>
          <w:rFonts w:ascii="仿宋" w:hAnsi="仿宋" w:eastAsia="仿宋" w:cs="楷体_GB2312"/>
          <w:bCs/>
          <w:color w:val="000000"/>
          <w:sz w:val="22"/>
          <w:szCs w:val="24"/>
        </w:rPr>
      </w:pPr>
    </w:p>
    <w:p>
      <w:pPr>
        <w:textAlignment w:val="baseline"/>
        <w:rPr>
          <w:rFonts w:ascii="仿宋" w:hAnsi="仿宋" w:eastAsia="仿宋" w:cs="楷体_GB2312"/>
          <w:b/>
          <w:bCs/>
          <w:color w:val="000000"/>
          <w:sz w:val="28"/>
          <w:szCs w:val="28"/>
        </w:rPr>
      </w:pPr>
    </w:p>
    <w:p>
      <w:pPr>
        <w:textAlignment w:val="baseline"/>
        <w:rPr>
          <w:rFonts w:ascii="仿宋" w:hAnsi="仿宋" w:eastAsia="仿宋" w:cs="楷体_GB2312"/>
          <w:b/>
          <w:bCs/>
          <w:color w:val="000000"/>
          <w:sz w:val="28"/>
          <w:szCs w:val="28"/>
        </w:rPr>
      </w:pPr>
    </w:p>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textAlignment w:val="baseline"/>
        <w:rPr>
          <w:sz w:val="30"/>
          <w:szCs w:val="30"/>
        </w:rPr>
      </w:pPr>
      <w:r>
        <w:rPr>
          <w:rFonts w:hint="eastAsia" w:ascii="仿宋" w:hAnsi="仿宋" w:eastAsia="仿宋" w:cs="楷体_GB2312"/>
          <w:b/>
          <w:bCs/>
          <w:color w:val="000000"/>
          <w:sz w:val="28"/>
          <w:szCs w:val="28"/>
        </w:rPr>
        <w:t xml:space="preserve">                                        报价日期：</w:t>
      </w:r>
    </w:p>
    <w:p>
      <w:pPr>
        <w:textAlignment w:val="baseline"/>
        <w:rPr>
          <w:sz w:val="36"/>
          <w:szCs w:val="36"/>
        </w:rPr>
      </w:pPr>
      <w:r>
        <w:rPr>
          <w:rFonts w:hint="eastAsia"/>
          <w:sz w:val="30"/>
          <w:szCs w:val="30"/>
        </w:rPr>
        <w:t>附件二：</w:t>
      </w:r>
    </w:p>
    <w:p>
      <w:pPr>
        <w:jc w:val="center"/>
        <w:textAlignment w:val="baseline"/>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性别：</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职务：</w:t>
      </w:r>
      <w:r>
        <w:rPr>
          <w:rFonts w:hint="eastAsia" w:ascii="仿宋" w:hAnsi="仿宋" w:eastAsia="仿宋" w:cs="仿宋"/>
          <w:b/>
          <w:bCs/>
          <w:sz w:val="28"/>
          <w:szCs w:val="28"/>
          <w:u w:val="single"/>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的法定代表人。</w:t>
      </w:r>
    </w:p>
    <w:p>
      <w:pPr>
        <w:jc w:val="left"/>
        <w:textAlignment w:val="baseline"/>
        <w:rPr>
          <w:rFonts w:ascii="仿宋" w:hAnsi="仿宋" w:eastAsia="仿宋" w:cs="仿宋"/>
          <w:b/>
          <w:bCs/>
          <w:sz w:val="28"/>
          <w:szCs w:val="28"/>
        </w:rPr>
      </w:pPr>
    </w:p>
    <w:p>
      <w:pPr>
        <w:jc w:val="left"/>
        <w:textAlignment w:val="baseline"/>
        <w:rPr>
          <w:rFonts w:ascii="仿宋" w:hAnsi="仿宋" w:eastAsia="仿宋" w:cs="仿宋"/>
          <w:b/>
          <w:bCs/>
          <w:sz w:val="28"/>
          <w:szCs w:val="28"/>
        </w:rPr>
      </w:pPr>
      <w:r>
        <w:rPr>
          <w:rFonts w:hint="eastAsia" w:ascii="仿宋" w:hAnsi="仿宋" w:eastAsia="仿宋" w:cs="仿宋"/>
          <w:b/>
          <w:bCs/>
          <w:sz w:val="28"/>
          <w:szCs w:val="28"/>
        </w:rPr>
        <w:t>特此证明。</w:t>
      </w: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textAlignment w:val="baseline"/>
        <w:rPr>
          <w:rFonts w:ascii="仿宋" w:hAnsi="仿宋" w:eastAsia="仿宋" w:cs="仿宋"/>
          <w:sz w:val="28"/>
          <w:szCs w:val="28"/>
        </w:rPr>
      </w:pPr>
    </w:p>
    <w:p>
      <w:pPr>
        <w:jc w:val="left"/>
        <w:textAlignment w:val="baseline"/>
        <w:rPr>
          <w:rFonts w:ascii="仿宋" w:hAnsi="仿宋" w:eastAsia="仿宋" w:cs="仿宋"/>
          <w:b/>
          <w:bCs/>
          <w:sz w:val="28"/>
          <w:szCs w:val="28"/>
        </w:rPr>
      </w:pPr>
    </w:p>
    <w:p>
      <w:pPr>
        <w:ind w:firstLine="4989" w:firstLineChars="1775"/>
        <w:jc w:val="left"/>
        <w:textAlignment w:val="baseline"/>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color="000000"/>
        </w:rPr>
        <w:t xml:space="preserve">  （盖公章）    </w:t>
      </w:r>
    </w:p>
    <w:p>
      <w:pPr>
        <w:jc w:val="left"/>
        <w:textAlignment w:val="baseline"/>
        <w:rPr>
          <w:rFonts w:ascii="仿宋" w:hAnsi="仿宋" w:eastAsia="仿宋" w:cs="仿宋"/>
          <w:b/>
          <w:bCs/>
          <w:sz w:val="28"/>
          <w:szCs w:val="28"/>
        </w:rPr>
      </w:pPr>
      <w:r>
        <w:rPr>
          <w:rFonts w:hint="eastAsia" w:ascii="仿宋" w:hAnsi="仿宋" w:eastAsia="仿宋" w:cs="仿宋"/>
          <w:b/>
          <w:bCs/>
          <w:sz w:val="28"/>
          <w:szCs w:val="28"/>
        </w:rPr>
        <w:t xml:space="preserve">                                    日   期：</w:t>
      </w:r>
      <w:r>
        <w:rPr>
          <w:rFonts w:hint="eastAsia" w:ascii="仿宋" w:hAnsi="仿宋" w:eastAsia="仿宋" w:cs="仿宋"/>
          <w:b/>
          <w:bCs/>
          <w:sz w:val="28"/>
          <w:szCs w:val="28"/>
          <w:u w:val="single"/>
        </w:rPr>
        <w:t xml:space="preserve">                </w:t>
      </w:r>
    </w:p>
    <w:p>
      <w:pPr>
        <w:textAlignment w:val="baseline"/>
        <w:rPr>
          <w:rFonts w:ascii="仿宋" w:hAnsi="仿宋" w:eastAsia="仿宋" w:cs="仿宋"/>
          <w:sz w:val="30"/>
          <w:szCs w:val="30"/>
        </w:rPr>
      </w:pPr>
    </w:p>
    <w:p>
      <w:pPr>
        <w:textAlignment w:val="baseline"/>
        <w:rPr>
          <w:rFonts w:ascii="仿宋" w:hAnsi="仿宋" w:eastAsia="仿宋" w:cs="仿宋"/>
          <w:sz w:val="30"/>
          <w:szCs w:val="30"/>
        </w:rPr>
      </w:pPr>
    </w:p>
    <w:tbl>
      <w:tblPr>
        <w:tblStyle w:val="7"/>
        <w:tblW w:w="10183" w:type="dxa"/>
        <w:tblInd w:w="93" w:type="dxa"/>
        <w:tblLayout w:type="fixed"/>
        <w:tblCellMar>
          <w:top w:w="0" w:type="dxa"/>
          <w:left w:w="108" w:type="dxa"/>
          <w:bottom w:w="0" w:type="dxa"/>
          <w:right w:w="108" w:type="dxa"/>
        </w:tblCellMar>
      </w:tblPr>
      <w:tblGrid>
        <w:gridCol w:w="636"/>
        <w:gridCol w:w="1708"/>
        <w:gridCol w:w="1539"/>
        <w:gridCol w:w="810"/>
        <w:gridCol w:w="855"/>
        <w:gridCol w:w="975"/>
        <w:gridCol w:w="1170"/>
        <w:gridCol w:w="1155"/>
        <w:gridCol w:w="1335"/>
      </w:tblGrid>
      <w:tr>
        <w:tblPrEx>
          <w:tblCellMar>
            <w:top w:w="0" w:type="dxa"/>
            <w:left w:w="108" w:type="dxa"/>
            <w:bottom w:w="0" w:type="dxa"/>
            <w:right w:w="108" w:type="dxa"/>
          </w:tblCellMar>
        </w:tblPrEx>
        <w:trPr>
          <w:trHeight w:val="510" w:hRule="atLeast"/>
        </w:trPr>
        <w:tc>
          <w:tcPr>
            <w:tcW w:w="10183"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s="宋体"/>
                <w:color w:val="000000"/>
                <w:kern w:val="0"/>
                <w:sz w:val="40"/>
                <w:szCs w:val="40"/>
                <w:u w:val="single"/>
              </w:rPr>
            </w:pPr>
          </w:p>
          <w:p>
            <w:pPr>
              <w:widowControl/>
              <w:jc w:val="center"/>
              <w:textAlignment w:val="center"/>
              <w:rPr>
                <w:rFonts w:ascii="宋体" w:hAnsi="宋体" w:eastAsia="宋体" w:cs="宋体"/>
                <w:color w:val="000000"/>
                <w:kern w:val="0"/>
                <w:sz w:val="40"/>
                <w:szCs w:val="40"/>
              </w:rPr>
            </w:pPr>
            <w:r>
              <w:rPr>
                <w:rFonts w:hint="eastAsia" w:ascii="宋体" w:hAnsi="宋体" w:eastAsia="宋体" w:cs="宋体"/>
                <w:color w:val="000000"/>
                <w:kern w:val="0"/>
                <w:sz w:val="40"/>
                <w:szCs w:val="40"/>
              </w:rPr>
              <w:t>4#厂房照明灯吊杆尺寸清单</w:t>
            </w:r>
          </w:p>
        </w:tc>
      </w:tr>
      <w:tr>
        <w:tblPrEx>
          <w:tblCellMar>
            <w:top w:w="0" w:type="dxa"/>
            <w:left w:w="108" w:type="dxa"/>
            <w:bottom w:w="0" w:type="dxa"/>
            <w:right w:w="108" w:type="dxa"/>
          </w:tblCellMar>
        </w:tblPrEx>
        <w:trPr>
          <w:trHeight w:val="402"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序号</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材料名称</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未扣除灯具尺寸（米）</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数量</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灯具尺寸（米）</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扣除灯具尺寸（米）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r>
              <w:rPr>
                <w:rFonts w:hint="eastAsia"/>
                <w:kern w:val="0"/>
                <w:szCs w:val="21"/>
              </w:rPr>
              <w:t>单价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r>
              <w:rPr>
                <w:rFonts w:hint="eastAsia"/>
                <w:kern w:val="0"/>
                <w:szCs w:val="21"/>
              </w:rPr>
              <w:t>合计</w:t>
            </w: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0.95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6</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7</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8</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10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9</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nil"/>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1.95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832"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11</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1.4</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1.05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14</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1.3</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1.55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16</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1.8</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1.75</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1.45</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8"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w:t>
            </w:r>
          </w:p>
        </w:tc>
        <w:tc>
          <w:tcPr>
            <w:tcW w:w="810"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8" w:space="0"/>
              <w:right w:val="single" w:color="000000" w:sz="4" w:space="0"/>
            </w:tcBorders>
            <w:shd w:val="clear" w:color="auto" w:fill="FFFFFF"/>
            <w:vAlign w:val="center"/>
          </w:tcPr>
          <w:p>
            <w:pPr>
              <w:rPr>
                <w:szCs w:val="21"/>
              </w:rPr>
            </w:pPr>
            <w:r>
              <w:rPr>
                <w:rFonts w:hint="eastAsia"/>
                <w:kern w:val="0"/>
                <w:szCs w:val="21"/>
              </w:rPr>
              <w:t>1.2</w:t>
            </w:r>
          </w:p>
        </w:tc>
        <w:tc>
          <w:tcPr>
            <w:tcW w:w="1155" w:type="dxa"/>
            <w:tcBorders>
              <w:top w:val="single" w:color="000000" w:sz="4" w:space="0"/>
              <w:left w:val="single" w:color="000000" w:sz="4" w:space="0"/>
              <w:bottom w:val="single" w:color="000000" w:sz="8" w:space="0"/>
              <w:right w:val="single" w:color="000000" w:sz="4" w:space="0"/>
            </w:tcBorders>
            <w:shd w:val="clear" w:color="auto" w:fill="FFFFFF"/>
            <w:vAlign w:val="center"/>
          </w:tcPr>
          <w:p>
            <w:pPr>
              <w:jc w:val="center"/>
              <w:rPr>
                <w:kern w:val="0"/>
                <w:szCs w:val="21"/>
              </w:rPr>
            </w:pPr>
          </w:p>
        </w:tc>
        <w:tc>
          <w:tcPr>
            <w:tcW w:w="1335" w:type="dxa"/>
            <w:tcBorders>
              <w:top w:val="single" w:color="000000" w:sz="4" w:space="0"/>
              <w:left w:val="single" w:color="000000" w:sz="4" w:space="0"/>
              <w:bottom w:val="single" w:color="000000" w:sz="8"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w:t>
            </w:r>
          </w:p>
        </w:tc>
        <w:tc>
          <w:tcPr>
            <w:tcW w:w="1708"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1.25</w:t>
            </w:r>
          </w:p>
        </w:tc>
        <w:tc>
          <w:tcPr>
            <w:tcW w:w="810"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rPr>
                <w:szCs w:val="21"/>
              </w:rPr>
            </w:pPr>
            <w:r>
              <w:rPr>
                <w:rFonts w:hint="eastAsia"/>
                <w:kern w:val="0"/>
                <w:szCs w:val="21"/>
              </w:rPr>
              <w:t>0.95</w:t>
            </w:r>
          </w:p>
        </w:tc>
        <w:tc>
          <w:tcPr>
            <w:tcW w:w="11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c>
          <w:tcPr>
            <w:tcW w:w="13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21</w:t>
            </w:r>
          </w:p>
        </w:tc>
        <w:tc>
          <w:tcPr>
            <w:tcW w:w="1708"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810"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rPr>
                <w:szCs w:val="21"/>
              </w:rPr>
            </w:pPr>
            <w:r>
              <w:rPr>
                <w:rFonts w:hint="eastAsia"/>
                <w:kern w:val="0"/>
                <w:szCs w:val="21"/>
              </w:rPr>
              <w:t>1</w:t>
            </w:r>
          </w:p>
        </w:tc>
        <w:tc>
          <w:tcPr>
            <w:tcW w:w="11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c>
          <w:tcPr>
            <w:tcW w:w="1335"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22</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8" w:space="0"/>
              <w:left w:val="single" w:color="000000" w:sz="4" w:space="0"/>
              <w:bottom w:val="single" w:color="000000" w:sz="4" w:space="0"/>
              <w:right w:val="nil"/>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w:t>
            </w:r>
          </w:p>
        </w:tc>
        <w:tc>
          <w:tcPr>
            <w:tcW w:w="810"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8"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1.5</w:t>
            </w:r>
          </w:p>
        </w:tc>
        <w:tc>
          <w:tcPr>
            <w:tcW w:w="1155" w:type="dxa"/>
            <w:tcBorders>
              <w:top w:val="single" w:color="000000" w:sz="8"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1335" w:type="dxa"/>
            <w:tcBorders>
              <w:top w:val="single" w:color="000000" w:sz="8"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nil"/>
              <w:left w:val="single" w:color="000000" w:sz="4" w:space="0"/>
              <w:bottom w:val="single" w:color="000000" w:sz="4" w:space="0"/>
              <w:right w:val="nil"/>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nil"/>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1.7</w:t>
            </w:r>
          </w:p>
        </w:tc>
        <w:tc>
          <w:tcPr>
            <w:tcW w:w="1155" w:type="dxa"/>
            <w:tcBorders>
              <w:top w:val="nil"/>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1335" w:type="dxa"/>
            <w:tcBorders>
              <w:top w:val="nil"/>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24</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8"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1.95</w:t>
            </w:r>
          </w:p>
        </w:tc>
        <w:tc>
          <w:tcPr>
            <w:tcW w:w="1155"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25</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2.3</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26</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2.55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27</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LED高棚灯H1b杆吊</w:t>
            </w: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0.5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0.2</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bl>
    <w:p>
      <w:pPr>
        <w:textAlignment w:val="baseline"/>
        <w:rPr>
          <w:sz w:val="30"/>
          <w:szCs w:val="30"/>
        </w:rPr>
        <w:sectPr>
          <w:pgSz w:w="11906" w:h="16838"/>
          <w:pgMar w:top="1440" w:right="1080" w:bottom="1440" w:left="1080" w:header="851" w:footer="992" w:gutter="0"/>
          <w:cols w:space="425" w:num="1"/>
          <w:docGrid w:type="lines" w:linePitch="312" w:charSpace="0"/>
        </w:sectPr>
      </w:pPr>
    </w:p>
    <w:p>
      <w:pPr>
        <w:textAlignment w:val="baseline"/>
        <w:rPr>
          <w:sz w:val="30"/>
          <w:szCs w:val="30"/>
        </w:rPr>
      </w:pPr>
      <w:r>
        <w:rPr>
          <w:rFonts w:hint="eastAsia"/>
          <w:sz w:val="30"/>
          <w:szCs w:val="30"/>
        </w:rPr>
        <w:t>附件三：</w:t>
      </w:r>
    </w:p>
    <w:p>
      <w:pPr>
        <w:spacing w:line="420" w:lineRule="auto"/>
        <w:jc w:val="center"/>
        <w:textAlignment w:val="baseline"/>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textAlignment w:val="baseline"/>
        <w:rPr>
          <w:rFonts w:ascii="仿宋" w:hAnsi="仿宋" w:eastAsia="仿宋" w:cs="仿宋"/>
          <w:b/>
          <w:sz w:val="24"/>
          <w:szCs w:val="24"/>
        </w:rPr>
      </w:pPr>
    </w:p>
    <w:p>
      <w:pPr>
        <w:spacing w:line="420" w:lineRule="auto"/>
        <w:jc w:val="left"/>
        <w:textAlignment w:val="baseline"/>
        <w:rPr>
          <w:rFonts w:ascii="仿宋" w:hAnsi="仿宋" w:eastAsia="仿宋" w:cs="仿宋"/>
          <w:b/>
          <w:sz w:val="28"/>
          <w:szCs w:val="28"/>
        </w:rPr>
      </w:pPr>
      <w:r>
        <w:rPr>
          <w:rFonts w:hint="eastAsia" w:ascii="仿宋" w:hAnsi="仿宋" w:eastAsia="仿宋" w:cs="仿宋"/>
          <w:b/>
          <w:sz w:val="28"/>
          <w:szCs w:val="28"/>
        </w:rPr>
        <w:t xml:space="preserve">    本授权委托书声明：我系 </w:t>
      </w:r>
      <w:r>
        <w:rPr>
          <w:rFonts w:hint="eastAsia" w:ascii="仿宋" w:hAnsi="仿宋" w:eastAsia="仿宋" w:cs="仿宋"/>
          <w:b/>
          <w:sz w:val="28"/>
          <w:szCs w:val="28"/>
          <w:u w:val="single"/>
        </w:rPr>
        <w:t xml:space="preserve">                            </w:t>
      </w:r>
      <w:r>
        <w:rPr>
          <w:rFonts w:hint="eastAsia" w:ascii="仿宋" w:hAnsi="仿宋" w:eastAsia="仿宋" w:cs="仿宋"/>
          <w:b/>
          <w:sz w:val="28"/>
          <w:szCs w:val="28"/>
        </w:rPr>
        <w:t xml:space="preserve">的法定代表人，现授权委托我公司的 </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日  期：</w:t>
      </w:r>
      <w:r>
        <w:rPr>
          <w:rFonts w:hint="eastAsia" w:ascii="仿宋" w:hAnsi="仿宋" w:eastAsia="仿宋" w:cs="仿宋"/>
          <w:b/>
          <w:sz w:val="28"/>
          <w:szCs w:val="28"/>
          <w:u w:val="single"/>
        </w:rPr>
        <w:t xml:space="preserve">     </w:t>
      </w:r>
      <w:r>
        <w:rPr>
          <w:rFonts w:hint="eastAsia" w:ascii="仿宋" w:hAnsi="仿宋" w:eastAsia="仿宋" w:cs="仿宋"/>
          <w:b/>
          <w:sz w:val="28"/>
          <w:szCs w:val="28"/>
        </w:rPr>
        <w:t>年</w:t>
      </w:r>
      <w:r>
        <w:rPr>
          <w:rFonts w:hint="eastAsia" w:ascii="仿宋" w:hAnsi="仿宋" w:eastAsia="仿宋" w:cs="仿宋"/>
          <w:b/>
          <w:sz w:val="28"/>
          <w:szCs w:val="28"/>
          <w:u w:val="single"/>
        </w:rPr>
        <w:t xml:space="preserve">     </w:t>
      </w:r>
      <w:r>
        <w:rPr>
          <w:rFonts w:hint="eastAsia" w:ascii="仿宋" w:hAnsi="仿宋" w:eastAsia="仿宋" w:cs="仿宋"/>
          <w:b/>
          <w:sz w:val="28"/>
          <w:szCs w:val="28"/>
        </w:rPr>
        <w:t>月</w:t>
      </w:r>
      <w:r>
        <w:rPr>
          <w:rFonts w:hint="eastAsia" w:ascii="仿宋" w:hAnsi="仿宋" w:eastAsia="仿宋" w:cs="仿宋"/>
          <w:b/>
          <w:sz w:val="28"/>
          <w:szCs w:val="28"/>
          <w:u w:val="single"/>
        </w:rPr>
        <w:t xml:space="preserve">    </w:t>
      </w:r>
      <w:r>
        <w:rPr>
          <w:rFonts w:hint="eastAsia" w:ascii="仿宋" w:hAnsi="仿宋" w:eastAsia="仿宋" w:cs="仿宋"/>
          <w:b/>
          <w:sz w:val="28"/>
          <w:szCs w:val="28"/>
        </w:rPr>
        <w:t>日</w:t>
      </w: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2F5C69"/>
    <w:rsid w:val="0000514A"/>
    <w:rsid w:val="00005FA6"/>
    <w:rsid w:val="00033A54"/>
    <w:rsid w:val="00045318"/>
    <w:rsid w:val="00054C7A"/>
    <w:rsid w:val="00060795"/>
    <w:rsid w:val="00090714"/>
    <w:rsid w:val="000A1801"/>
    <w:rsid w:val="000A29D3"/>
    <w:rsid w:val="000A2B61"/>
    <w:rsid w:val="000A7A2A"/>
    <w:rsid w:val="000B5C69"/>
    <w:rsid w:val="000C02B1"/>
    <w:rsid w:val="000E5DC1"/>
    <w:rsid w:val="001015E8"/>
    <w:rsid w:val="00110202"/>
    <w:rsid w:val="0011615F"/>
    <w:rsid w:val="00120E5F"/>
    <w:rsid w:val="00124B23"/>
    <w:rsid w:val="00126337"/>
    <w:rsid w:val="0014406C"/>
    <w:rsid w:val="00165E3F"/>
    <w:rsid w:val="00170E7D"/>
    <w:rsid w:val="0018389E"/>
    <w:rsid w:val="001878DA"/>
    <w:rsid w:val="001C32B6"/>
    <w:rsid w:val="001F646E"/>
    <w:rsid w:val="00201E01"/>
    <w:rsid w:val="00216ED1"/>
    <w:rsid w:val="002329D1"/>
    <w:rsid w:val="00240B71"/>
    <w:rsid w:val="00243447"/>
    <w:rsid w:val="00243AEA"/>
    <w:rsid w:val="002556C1"/>
    <w:rsid w:val="002610EA"/>
    <w:rsid w:val="0027788B"/>
    <w:rsid w:val="00284C99"/>
    <w:rsid w:val="00295304"/>
    <w:rsid w:val="002A1037"/>
    <w:rsid w:val="002A7D17"/>
    <w:rsid w:val="002B369B"/>
    <w:rsid w:val="002C391D"/>
    <w:rsid w:val="002C7F0C"/>
    <w:rsid w:val="002D41B8"/>
    <w:rsid w:val="002E3736"/>
    <w:rsid w:val="002E65FA"/>
    <w:rsid w:val="002E7EFB"/>
    <w:rsid w:val="002F159D"/>
    <w:rsid w:val="002F593A"/>
    <w:rsid w:val="002F5C69"/>
    <w:rsid w:val="0030224C"/>
    <w:rsid w:val="003218C5"/>
    <w:rsid w:val="00326281"/>
    <w:rsid w:val="0033343F"/>
    <w:rsid w:val="0036056A"/>
    <w:rsid w:val="003709AF"/>
    <w:rsid w:val="00373F7A"/>
    <w:rsid w:val="00380418"/>
    <w:rsid w:val="00380F7D"/>
    <w:rsid w:val="00381940"/>
    <w:rsid w:val="00395C42"/>
    <w:rsid w:val="003A05EA"/>
    <w:rsid w:val="003B6940"/>
    <w:rsid w:val="003F3087"/>
    <w:rsid w:val="003F6329"/>
    <w:rsid w:val="004007F4"/>
    <w:rsid w:val="004133A1"/>
    <w:rsid w:val="004234F3"/>
    <w:rsid w:val="00450120"/>
    <w:rsid w:val="00473289"/>
    <w:rsid w:val="00476354"/>
    <w:rsid w:val="00493468"/>
    <w:rsid w:val="004C1294"/>
    <w:rsid w:val="004C4522"/>
    <w:rsid w:val="004D13BA"/>
    <w:rsid w:val="004D5218"/>
    <w:rsid w:val="004D7873"/>
    <w:rsid w:val="004E0AB6"/>
    <w:rsid w:val="004F0CC3"/>
    <w:rsid w:val="004F178B"/>
    <w:rsid w:val="00504ECA"/>
    <w:rsid w:val="005079C9"/>
    <w:rsid w:val="00521722"/>
    <w:rsid w:val="005363FC"/>
    <w:rsid w:val="00557E2A"/>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6E4E29"/>
    <w:rsid w:val="006F57DD"/>
    <w:rsid w:val="007011BF"/>
    <w:rsid w:val="0071313D"/>
    <w:rsid w:val="00724092"/>
    <w:rsid w:val="00735660"/>
    <w:rsid w:val="007417A5"/>
    <w:rsid w:val="00755AC3"/>
    <w:rsid w:val="00785D39"/>
    <w:rsid w:val="00791183"/>
    <w:rsid w:val="007969A7"/>
    <w:rsid w:val="007C4007"/>
    <w:rsid w:val="007D2D34"/>
    <w:rsid w:val="007E0EF4"/>
    <w:rsid w:val="007F3118"/>
    <w:rsid w:val="00802D67"/>
    <w:rsid w:val="008238B4"/>
    <w:rsid w:val="0083514F"/>
    <w:rsid w:val="008372AD"/>
    <w:rsid w:val="00844F30"/>
    <w:rsid w:val="008577BF"/>
    <w:rsid w:val="008652A8"/>
    <w:rsid w:val="00865CDB"/>
    <w:rsid w:val="00875641"/>
    <w:rsid w:val="00887222"/>
    <w:rsid w:val="008A512B"/>
    <w:rsid w:val="008B4E22"/>
    <w:rsid w:val="008C6ECE"/>
    <w:rsid w:val="008D08A4"/>
    <w:rsid w:val="008D7850"/>
    <w:rsid w:val="008E2BA2"/>
    <w:rsid w:val="008E798E"/>
    <w:rsid w:val="008F2C65"/>
    <w:rsid w:val="009007DE"/>
    <w:rsid w:val="009055E4"/>
    <w:rsid w:val="0090610B"/>
    <w:rsid w:val="00906976"/>
    <w:rsid w:val="009116DA"/>
    <w:rsid w:val="00926449"/>
    <w:rsid w:val="0095267A"/>
    <w:rsid w:val="009676D8"/>
    <w:rsid w:val="00975617"/>
    <w:rsid w:val="009775B8"/>
    <w:rsid w:val="009A2F3C"/>
    <w:rsid w:val="009A5B5C"/>
    <w:rsid w:val="009A685C"/>
    <w:rsid w:val="009A6A68"/>
    <w:rsid w:val="009B7396"/>
    <w:rsid w:val="009C0411"/>
    <w:rsid w:val="009C70E9"/>
    <w:rsid w:val="009C7A1D"/>
    <w:rsid w:val="009D4C5B"/>
    <w:rsid w:val="009D7284"/>
    <w:rsid w:val="00A209CE"/>
    <w:rsid w:val="00A27070"/>
    <w:rsid w:val="00A27C30"/>
    <w:rsid w:val="00A56510"/>
    <w:rsid w:val="00A66C4C"/>
    <w:rsid w:val="00A740B1"/>
    <w:rsid w:val="00A76AD9"/>
    <w:rsid w:val="00A86242"/>
    <w:rsid w:val="00A94559"/>
    <w:rsid w:val="00AA036E"/>
    <w:rsid w:val="00AE03E6"/>
    <w:rsid w:val="00AE5ED2"/>
    <w:rsid w:val="00B02377"/>
    <w:rsid w:val="00B07765"/>
    <w:rsid w:val="00B101AB"/>
    <w:rsid w:val="00B2161B"/>
    <w:rsid w:val="00B455EE"/>
    <w:rsid w:val="00B54C84"/>
    <w:rsid w:val="00B676C1"/>
    <w:rsid w:val="00B931F8"/>
    <w:rsid w:val="00BF7CF4"/>
    <w:rsid w:val="00C0757F"/>
    <w:rsid w:val="00C37895"/>
    <w:rsid w:val="00C61BFB"/>
    <w:rsid w:val="00C638FC"/>
    <w:rsid w:val="00C8556B"/>
    <w:rsid w:val="00C86A9C"/>
    <w:rsid w:val="00CB3A11"/>
    <w:rsid w:val="00CC0068"/>
    <w:rsid w:val="00CC2A52"/>
    <w:rsid w:val="00CE4484"/>
    <w:rsid w:val="00D02039"/>
    <w:rsid w:val="00D052B3"/>
    <w:rsid w:val="00D12016"/>
    <w:rsid w:val="00D12AAA"/>
    <w:rsid w:val="00D26815"/>
    <w:rsid w:val="00D46AF3"/>
    <w:rsid w:val="00D569FB"/>
    <w:rsid w:val="00D742A2"/>
    <w:rsid w:val="00D7469E"/>
    <w:rsid w:val="00D959B3"/>
    <w:rsid w:val="00DA5BE4"/>
    <w:rsid w:val="00DB039E"/>
    <w:rsid w:val="00DB579E"/>
    <w:rsid w:val="00DC0A24"/>
    <w:rsid w:val="00DC0F61"/>
    <w:rsid w:val="00DC5505"/>
    <w:rsid w:val="00DD060D"/>
    <w:rsid w:val="00DD4381"/>
    <w:rsid w:val="00DD5A5A"/>
    <w:rsid w:val="00DD633C"/>
    <w:rsid w:val="00DE5BD1"/>
    <w:rsid w:val="00E122BF"/>
    <w:rsid w:val="00E37235"/>
    <w:rsid w:val="00E44F75"/>
    <w:rsid w:val="00E478B0"/>
    <w:rsid w:val="00E93D9E"/>
    <w:rsid w:val="00EC11D7"/>
    <w:rsid w:val="00EC78E7"/>
    <w:rsid w:val="00ED671C"/>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9054DD3"/>
    <w:rsid w:val="090B2CC3"/>
    <w:rsid w:val="0B7005D5"/>
    <w:rsid w:val="0CA4400B"/>
    <w:rsid w:val="0CEB2C4A"/>
    <w:rsid w:val="0DFF2755"/>
    <w:rsid w:val="0EBE24F6"/>
    <w:rsid w:val="115D6403"/>
    <w:rsid w:val="12CC06E6"/>
    <w:rsid w:val="131840D7"/>
    <w:rsid w:val="132E3F9C"/>
    <w:rsid w:val="13B452DE"/>
    <w:rsid w:val="15A32D3A"/>
    <w:rsid w:val="18FF5677"/>
    <w:rsid w:val="198C6C4C"/>
    <w:rsid w:val="1C704EE0"/>
    <w:rsid w:val="1CE75528"/>
    <w:rsid w:val="1F2B47DD"/>
    <w:rsid w:val="20576F06"/>
    <w:rsid w:val="243E3700"/>
    <w:rsid w:val="310438EA"/>
    <w:rsid w:val="31F1693E"/>
    <w:rsid w:val="350F2F83"/>
    <w:rsid w:val="35186507"/>
    <w:rsid w:val="36951773"/>
    <w:rsid w:val="37F126F4"/>
    <w:rsid w:val="3C0E5257"/>
    <w:rsid w:val="3C6E6724"/>
    <w:rsid w:val="3DB83181"/>
    <w:rsid w:val="3DBF4C28"/>
    <w:rsid w:val="3DC14145"/>
    <w:rsid w:val="3E622B90"/>
    <w:rsid w:val="3F1625EF"/>
    <w:rsid w:val="41034ED2"/>
    <w:rsid w:val="42B029BC"/>
    <w:rsid w:val="43B34253"/>
    <w:rsid w:val="46E76374"/>
    <w:rsid w:val="4B5D5F60"/>
    <w:rsid w:val="4CE2114F"/>
    <w:rsid w:val="4D8E465E"/>
    <w:rsid w:val="51457874"/>
    <w:rsid w:val="516C630A"/>
    <w:rsid w:val="54F5600C"/>
    <w:rsid w:val="55FD0EC9"/>
    <w:rsid w:val="575D1031"/>
    <w:rsid w:val="57D034A5"/>
    <w:rsid w:val="5B08785E"/>
    <w:rsid w:val="5B1E24A6"/>
    <w:rsid w:val="5D9840B1"/>
    <w:rsid w:val="5E0707DF"/>
    <w:rsid w:val="60EB7644"/>
    <w:rsid w:val="616F06A2"/>
    <w:rsid w:val="64A4088B"/>
    <w:rsid w:val="68C156AD"/>
    <w:rsid w:val="69EB56CF"/>
    <w:rsid w:val="6AF075F9"/>
    <w:rsid w:val="6C6742D2"/>
    <w:rsid w:val="6E3902CA"/>
    <w:rsid w:val="6E6324E3"/>
    <w:rsid w:val="6ED743C2"/>
    <w:rsid w:val="701D2739"/>
    <w:rsid w:val="74C82D26"/>
    <w:rsid w:val="75C20405"/>
    <w:rsid w:val="765F61A0"/>
    <w:rsid w:val="76751CF6"/>
    <w:rsid w:val="78766B0A"/>
    <w:rsid w:val="7E626696"/>
    <w:rsid w:val="7F397C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 w:type="character" w:customStyle="1" w:styleId="15">
    <w:name w:val="font81"/>
    <w:basedOn w:val="9"/>
    <w:qFormat/>
    <w:uiPriority w:val="0"/>
    <w:rPr>
      <w:rFonts w:hint="default" w:ascii="Times New Roman" w:hAnsi="Times New Roman" w:cs="Times New Roman"/>
      <w:b/>
      <w:bCs/>
      <w:color w:val="000000"/>
      <w:sz w:val="20"/>
      <w:szCs w:val="20"/>
      <w:u w:val="none"/>
    </w:rPr>
  </w:style>
  <w:style w:type="character" w:customStyle="1" w:styleId="16">
    <w:name w:val="font61"/>
    <w:basedOn w:val="9"/>
    <w:qFormat/>
    <w:uiPriority w:val="0"/>
    <w:rPr>
      <w:rFonts w:hint="eastAsia" w:ascii="仿宋" w:hAnsi="仿宋" w:eastAsia="仿宋" w:cs="仿宋"/>
      <w:b/>
      <w:bCs/>
      <w:color w:val="000000"/>
      <w:sz w:val="20"/>
      <w:szCs w:val="20"/>
      <w:u w:val="none"/>
    </w:rPr>
  </w:style>
  <w:style w:type="character" w:customStyle="1" w:styleId="17">
    <w:name w:val="font91"/>
    <w:basedOn w:val="9"/>
    <w:qFormat/>
    <w:uiPriority w:val="0"/>
    <w:rPr>
      <w:rFonts w:hint="eastAsia" w:ascii="仿宋" w:hAnsi="仿宋" w:eastAsia="仿宋" w:cs="仿宋"/>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D1D266-A85A-4584-B3B7-5D0DA4503E96}">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9</Pages>
  <Words>776</Words>
  <Characters>4429</Characters>
  <Lines>36</Lines>
  <Paragraphs>10</Paragraphs>
  <TotalTime>3</TotalTime>
  <ScaleCrop>false</ScaleCrop>
  <LinksUpToDate>false</LinksUpToDate>
  <CharactersWithSpaces>5195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2022-02-25T08:32:50Z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75FCBF7D9E6A444B9192633B57DC2115</vt:lpwstr>
  </property>
</Properties>
</file>